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73E855B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CF0D73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Vintos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60680F4E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C42C7A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C42C7A">
        <w:rPr>
          <w:rFonts w:ascii="Arial" w:hAnsi="Arial" w:cs="Arial"/>
          <w:b w:val="0"/>
          <w:sz w:val="22"/>
          <w:szCs w:val="22"/>
        </w:rPr>
        <w:t xml:space="preserve"> ohne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59687050" w14:textId="1249F2AA" w:rsidR="00EE4E78" w:rsidRPr="005658A7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9CB7658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2D8AAA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E908DB5" w14:textId="77777777" w:rsidR="005948FA" w:rsidRPr="00C30DE0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50EB4A3" w14:textId="77777777" w:rsidR="00EB09F4" w:rsidRPr="00FC012D" w:rsidRDefault="00EB09F4" w:rsidP="00EB0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034B817" w14:textId="77777777" w:rsidR="00EB09F4" w:rsidRPr="00B96E5F" w:rsidRDefault="00EB09F4" w:rsidP="00EB0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0F40B2">
        <w:rPr>
          <w:rFonts w:ascii="Arial" w:hAnsi="Arial" w:cs="Arial"/>
          <w:color w:val="000000"/>
        </w:rPr>
        <w:t>CO2 / R744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4E62CBF5" w:rsidR="006C05E6" w:rsidRPr="00C42C7A" w:rsidRDefault="00966E99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B09F4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1BB39FAC" w14:textId="77777777" w:rsidR="005948FA" w:rsidRPr="008F3E25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5015A68" w14:textId="77777777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2FF62837" w14:textId="5C88AD8C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SKFZKE4011D-OB</w:t>
      </w: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A8C" w14:textId="77777777" w:rsidR="005948FA" w:rsidRDefault="005948FA" w:rsidP="005948FA">
      <w:pPr>
        <w:spacing w:after="0" w:line="240" w:lineRule="auto"/>
      </w:pPr>
      <w:r>
        <w:separator/>
      </w:r>
    </w:p>
  </w:endnote>
  <w:endnote w:type="continuationSeparator" w:id="0">
    <w:p w14:paraId="235CB2B9" w14:textId="77777777" w:rsidR="005948FA" w:rsidRDefault="005948FA" w:rsidP="005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B5D3" w14:textId="69A4FF83" w:rsidR="005948FA" w:rsidRPr="005948FA" w:rsidRDefault="005948FA">
    <w:pPr>
      <w:pStyle w:val="Fuzeile"/>
      <w:rPr>
        <w:sz w:val="18"/>
        <w:szCs w:val="18"/>
      </w:rPr>
    </w:pPr>
    <w:r w:rsidRPr="005948FA">
      <w:rPr>
        <w:rFonts w:ascii="Arial" w:hAnsi="Arial" w:cs="Arial"/>
        <w:sz w:val="18"/>
        <w:szCs w:val="18"/>
      </w:rPr>
      <w:t>SKFZKE4011D-OB / Stand 10/2024</w:t>
    </w:r>
  </w:p>
  <w:p w14:paraId="00066F15" w14:textId="77777777" w:rsidR="005948FA" w:rsidRDefault="00594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6B5F" w14:textId="77777777" w:rsidR="005948FA" w:rsidRDefault="005948FA" w:rsidP="005948FA">
      <w:pPr>
        <w:spacing w:after="0" w:line="240" w:lineRule="auto"/>
      </w:pPr>
      <w:r>
        <w:separator/>
      </w:r>
    </w:p>
  </w:footnote>
  <w:footnote w:type="continuationSeparator" w:id="0">
    <w:p w14:paraId="2AABACFA" w14:textId="77777777" w:rsidR="005948FA" w:rsidRDefault="005948FA" w:rsidP="0059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4E04B5"/>
    <w:rsid w:val="005658A7"/>
    <w:rsid w:val="005948FA"/>
    <w:rsid w:val="006515A7"/>
    <w:rsid w:val="006C05E6"/>
    <w:rsid w:val="00773759"/>
    <w:rsid w:val="007D66E7"/>
    <w:rsid w:val="008B058E"/>
    <w:rsid w:val="008F7FE0"/>
    <w:rsid w:val="00966E99"/>
    <w:rsid w:val="009D54B3"/>
    <w:rsid w:val="009F52E8"/>
    <w:rsid w:val="00A57D9C"/>
    <w:rsid w:val="00AE1234"/>
    <w:rsid w:val="00C30DE0"/>
    <w:rsid w:val="00C42C7A"/>
    <w:rsid w:val="00CF0D73"/>
    <w:rsid w:val="00CF290C"/>
    <w:rsid w:val="00D234BE"/>
    <w:rsid w:val="00D86D20"/>
    <w:rsid w:val="00D87263"/>
    <w:rsid w:val="00D974E9"/>
    <w:rsid w:val="00DE5799"/>
    <w:rsid w:val="00EB09F4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8FA"/>
  </w:style>
  <w:style w:type="paragraph" w:styleId="Fuzeile">
    <w:name w:val="footer"/>
    <w:basedOn w:val="Standard"/>
    <w:link w:val="Fu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2024-10-18T08:41:00Z</dcterms:created>
  <dcterms:modified xsi:type="dcterms:W3CDTF">2024-11-27T14:54:00Z</dcterms:modified>
</cp:coreProperties>
</file>